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2019</w:t>
      </w: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新金融评选报名表：</w:t>
      </w:r>
    </w:p>
    <w:p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5153"/>
      </w:tblGrid>
      <w:tr>
        <w:tblPrEx>
          <w:tblLayout w:type="fixed"/>
        </w:tblPrEx>
        <w:tc>
          <w:tcPr>
            <w:tcW w:w="1809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参选企业名称</w:t>
            </w:r>
          </w:p>
        </w:tc>
        <w:tc>
          <w:tcPr>
            <w:tcW w:w="6713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</w:tblPrEx>
        <w:trPr>
          <w:cantSplit/>
        </w:trPr>
        <w:tc>
          <w:tcPr>
            <w:tcW w:w="1809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参选企业联系人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5153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</w:tblPrEx>
        <w:trPr>
          <w:cantSplit/>
          <w:trHeight w:val="661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职位</w:t>
            </w:r>
          </w:p>
        </w:tc>
        <w:tc>
          <w:tcPr>
            <w:tcW w:w="5153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</w:tblPrEx>
        <w:trPr>
          <w:cantSplit/>
        </w:trPr>
        <w:tc>
          <w:tcPr>
            <w:tcW w:w="180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手机号</w:t>
            </w:r>
          </w:p>
        </w:tc>
        <w:tc>
          <w:tcPr>
            <w:tcW w:w="5153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</w:tblPrEx>
        <w:tc>
          <w:tcPr>
            <w:tcW w:w="1809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所属行业</w:t>
            </w:r>
          </w:p>
        </w:tc>
        <w:tc>
          <w:tcPr>
            <w:tcW w:w="6713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参选奖项（单选）</w:t>
            </w:r>
          </w:p>
        </w:tc>
        <w:tc>
          <w:tcPr>
            <w:tcW w:w="6713" w:type="dxa"/>
            <w:gridSpan w:val="2"/>
          </w:tcPr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年度最佳金融科技创新奖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年度最佳智能风控创新奖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年度最佳金融机构服务商奖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年度最佳电子支付解决方案奖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年度最佳金融机构理财产品创新设计奖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年度最具影响力金融品牌奖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年度最具投资价值中小银行奖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年度最具人气券商品牌奖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年度最具影响力保险品牌奖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年度最受用户信赖财富管理公司奖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b/>
              </w:rPr>
              <w:t>年度最佳大数据基金奖</w:t>
            </w:r>
          </w:p>
          <w:p>
            <w:pPr>
              <w:spacing w:line="360" w:lineRule="auto"/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年度最具成长力卓越品牌奖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0" w:hRule="atLeast"/>
        </w:trPr>
        <w:tc>
          <w:tcPr>
            <w:tcW w:w="8522" w:type="dxa"/>
            <w:gridSpan w:val="3"/>
          </w:tcPr>
          <w:p>
            <w:pPr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参选企业简介（300字以内）</w:t>
            </w:r>
          </w:p>
          <w:p>
            <w:pPr>
              <w:pStyle w:val="4"/>
              <w:widowControl/>
              <w:spacing w:after="160" w:line="259" w:lineRule="auto"/>
              <w:ind w:firstLine="0" w:firstLineChars="0"/>
              <w:contextualSpacing/>
              <w:jc w:val="left"/>
              <w:rPr>
                <w:rFonts w:ascii="微软雅黑" w:hAnsi="微软雅黑" w:eastAsia="微软雅黑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5" w:hRule="atLeast"/>
        </w:trPr>
        <w:tc>
          <w:tcPr>
            <w:tcW w:w="8522" w:type="dxa"/>
            <w:gridSpan w:val="3"/>
          </w:tcPr>
          <w:p>
            <w:pPr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2019年参选企业所获成绩（创新举措、用户数据、交易额、社会责任等）</w:t>
            </w:r>
          </w:p>
        </w:tc>
      </w:tr>
    </w:tbl>
    <w:p>
      <w:pPr>
        <w:rPr>
          <w:rFonts w:ascii="Arial" w:hAnsi="Arial" w:cs="Arial"/>
          <w:color w:val="333333"/>
          <w:sz w:val="24"/>
          <w:shd w:val="clear" w:color="auto" w:fill="FFFFFF"/>
        </w:rPr>
      </w:pPr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ngXian">
    <w:altName w:val="汉仪中等线KW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 Light">
    <w:altName w:val="汉仪中等线KW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6"/>
    <w:rsid w:val="00013EBB"/>
    <w:rsid w:val="00132A2C"/>
    <w:rsid w:val="00681D16"/>
    <w:rsid w:val="EFFD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2019-11-07T10:43:00Z</dcterms:created>
  <dc:creator>382558447@qq.com</dc:creator>
  <cp:lastModifiedBy>wangxiaobei</cp:lastModifiedBy>
  <dcterms:modified xsi:type="dcterms:W3CDTF">2019-11-07T11:03:38Z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